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14283C"/>
        </w:rPr>
        <w:t>Node communications strategy canvas</w:t>
      </w:r>
    </w:p>
    <w:p>
      <w:r>
        <w:rPr>
          <w:i/>
          <w:color w:val="5A6B7A"/>
          <w:sz w:val="20"/>
        </w:rPr>
        <w:t>A one-page working summary of your Node’s communications strategy. Fill it in, keep it visible, and revisit it when your Node changes. For the full detail behind each box, see the ELIXIR Node Communications Strategy Toolkit (ELIXIR-STEERS). Delete this grey guidance as you go.</w:t>
      </w:r>
    </w:p>
    <w:p>
      <w:pPr>
        <w:pStyle w:val="Heading1"/>
      </w:pPr>
      <w:r>
        <w:rPr>
          <w:color w:val="14283C"/>
        </w:rPr>
        <w:t>1. Objectives</w:t>
      </w:r>
    </w:p>
    <w:p>
      <w:r>
        <w:rPr>
          <w:i/>
          <w:color w:val="5A6B7A"/>
          <w:sz w:val="20"/>
        </w:rPr>
        <w:t>Derive from your Node strategy. Keep to five or six. (ELIXIR’s own: raise awareness; communicate impact; promote services, resources, events and jobs; build support for ELIXIR’s objectives; expand the network.)</w:t>
      </w:r>
    </w:p>
    <w:p/>
    <w:p/>
    <w:p/>
    <w:p>
      <w:pPr>
        <w:pStyle w:val="Heading1"/>
      </w:pPr>
      <w:r>
        <w:rPr>
          <w:color w:val="14283C"/>
        </w:rPr>
        <w:t>2. Scope</w:t>
      </w:r>
    </w:p>
    <w:p>
      <w:r>
        <w:rPr>
          <w:i/>
          <w:color w:val="5A6B7A"/>
          <w:sz w:val="20"/>
        </w:rPr>
        <w:t>External communications is the minimum. Add others only if you have the resources to deliver them.</w:t>
      </w:r>
    </w:p>
    <w:p>
      <w:r>
        <w:t>☐  External communications (minimum)</w:t>
      </w:r>
    </w:p>
    <w:p>
      <w:r>
        <w:t>☐  Internal communications (within the Node)</w:t>
      </w:r>
    </w:p>
    <w:p>
      <w:r>
        <w:t>☐  Dissemination of research outputs</w:t>
      </w:r>
    </w:p>
    <w:p>
      <w:r>
        <w:t>☐  Stakeholder engagement / involvement</w:t>
      </w:r>
    </w:p>
    <w:p>
      <w:r>
        <w:t>☐  Node brand guidelines</w:t>
      </w:r>
    </w:p>
    <w:p>
      <w:r>
        <w:t>☐  Node style guide</w:t>
      </w:r>
    </w:p>
    <w:p>
      <w:pPr>
        <w:pStyle w:val="Heading1"/>
      </w:pPr>
      <w:r>
        <w:rPr>
          <w:color w:val="14283C"/>
        </w:rPr>
        <w:t>3. Boilerplate</w:t>
      </w:r>
    </w:p>
    <w:p>
      <w:r>
        <w:rPr>
          <w:i/>
          <w:color w:val="5A6B7A"/>
          <w:sz w:val="20"/>
        </w:rPr>
        <w:t>Three to five sentences: what your Node does and how it fits into ELIXIR. Accessible, no jargon, nothing that dates quickly (avoid project names or staff names).</w:t>
      </w:r>
    </w:p>
    <w:p/>
    <w:p/>
    <w:p/>
    <w:p>
      <w:pPr>
        <w:pStyle w:val="Heading1"/>
      </w:pPr>
      <w:r>
        <w:rPr>
          <w:color w:val="14283C"/>
        </w:rPr>
        <w:t>4. Target audiences</w:t>
      </w:r>
    </w:p>
    <w:p>
      <w:r>
        <w:rPr>
          <w:i/>
          <w:color w:val="5A6B7A"/>
          <w:sz w:val="20"/>
        </w:rPr>
        <w:t>Your top four or five audience groups, from your priority matrix. (ELIXIR’s groups: ELIXIR Nodes; Users; Funders and policymakers; Collaborators.)</w:t>
      </w:r>
    </w:p>
    <w:p/>
    <w:p/>
    <w:p/>
    <w:p>
      <w:pPr>
        <w:pStyle w:val="Heading1"/>
      </w:pPr>
      <w:r>
        <w:rPr>
          <w:color w:val="14283C"/>
        </w:rPr>
        <w:t>5. The canvas</w:t>
      </w:r>
    </w:p>
    <w:p>
      <w:r>
        <w:rPr>
          <w:i/>
          <w:color w:val="5A6B7A"/>
          <w:sz w:val="20"/>
        </w:rPr>
        <w:t>Connect it together: one row per objective + audience. KPIs are channel-specific, so keep the channel and KPI columns side by side.</w:t>
      </w:r>
    </w:p>
    <w:tbl>
      <w:tblPr>
        <w:tblStyle w:val="TableGrid"/>
        <w:tblW w:type="auto" w:w="0"/>
        <w:tblLook w:firstColumn="1" w:firstRow="1" w:lastColumn="0" w:lastRow="0" w:noHBand="0" w:noVBand="1" w:val="04A0"/>
      </w:tblPr>
      <w:tblGrid>
        <w:gridCol w:w="2160"/>
        <w:gridCol w:w="3168"/>
        <w:gridCol w:w="2016"/>
        <w:gridCol w:w="1728"/>
        <w:gridCol w:w="2016"/>
      </w:tblGrid>
      <w:tr>
        <w:tc>
          <w:tcPr>
            <w:tcW w:type="dxa" w:w="1728"/>
            <w:shd w:fill="DBE7F0"/>
          </w:tcPr>
          <w:p>
            <w:r>
              <w:rPr>
                <w:b/>
                <w:color w:val="14283C"/>
                <w:sz w:val="20"/>
              </w:rPr>
              <w:t>Objective</w:t>
            </w:r>
          </w:p>
        </w:tc>
        <w:tc>
          <w:tcPr>
            <w:tcW w:type="dxa" w:w="1728"/>
            <w:shd w:fill="DBE7F0"/>
          </w:tcPr>
          <w:p>
            <w:r>
              <w:rPr>
                <w:b/>
                <w:color w:val="14283C"/>
                <w:sz w:val="20"/>
              </w:rPr>
              <w:t>Key message</w:t>
            </w:r>
          </w:p>
        </w:tc>
        <w:tc>
          <w:tcPr>
            <w:tcW w:type="dxa" w:w="1728"/>
            <w:shd w:fill="DBE7F0"/>
          </w:tcPr>
          <w:p>
            <w:r>
              <w:rPr>
                <w:b/>
                <w:color w:val="14283C"/>
                <w:sz w:val="20"/>
              </w:rPr>
              <w:t>Target audience</w:t>
            </w:r>
          </w:p>
        </w:tc>
        <w:tc>
          <w:tcPr>
            <w:tcW w:type="dxa" w:w="1728"/>
            <w:shd w:fill="DBE7F0"/>
          </w:tcPr>
          <w:p>
            <w:r>
              <w:rPr>
                <w:b/>
                <w:color w:val="14283C"/>
                <w:sz w:val="20"/>
              </w:rPr>
              <w:t>Channel</w:t>
            </w:r>
          </w:p>
        </w:tc>
        <w:tc>
          <w:tcPr>
            <w:tcW w:type="dxa" w:w="1728"/>
            <w:shd w:fill="DBE7F0"/>
          </w:tcPr>
          <w:p>
            <w:r>
              <w:rPr>
                <w:b/>
                <w:color w:val="14283C"/>
                <w:sz w:val="20"/>
              </w:rPr>
              <w:t>KPI</w:t>
            </w:r>
          </w:p>
        </w:tc>
      </w:tr>
      <w:tr>
        <w:tc>
          <w:tcPr>
            <w:tcW w:type="dxa" w:w="1728"/>
          </w:tcPr>
          <w:p>
            <w:r>
              <w:rPr>
                <w:i/>
                <w:color w:val="5A6B7A"/>
                <w:sz w:val="18"/>
              </w:rPr>
              <w:t>Raise awareness of ELIXIR [country]</w:t>
            </w:r>
          </w:p>
        </w:tc>
        <w:tc>
          <w:tcPr>
            <w:tcW w:type="dxa" w:w="1728"/>
          </w:tcPr>
          <w:p>
            <w:r>
              <w:rPr>
                <w:i/>
                <w:color w:val="5A6B7A"/>
                <w:sz w:val="18"/>
              </w:rPr>
              <w:t>ELIXIR [country] connects national bioinformatics into a European network</w:t>
            </w:r>
          </w:p>
        </w:tc>
        <w:tc>
          <w:tcPr>
            <w:tcW w:type="dxa" w:w="1728"/>
          </w:tcPr>
          <w:p>
            <w:r>
              <w:rPr>
                <w:i/>
                <w:color w:val="5A6B7A"/>
                <w:sz w:val="18"/>
              </w:rPr>
              <w:t>Bioinformaticians</w:t>
            </w:r>
          </w:p>
        </w:tc>
        <w:tc>
          <w:tcPr>
            <w:tcW w:type="dxa" w:w="1728"/>
          </w:tcPr>
          <w:p>
            <w:r>
              <w:rPr>
                <w:i/>
                <w:color w:val="5A6B7A"/>
                <w:sz w:val="18"/>
              </w:rPr>
              <w:t>LinkedIn</w:t>
            </w:r>
          </w:p>
        </w:tc>
        <w:tc>
          <w:tcPr>
            <w:tcW w:type="dxa" w:w="1728"/>
          </w:tcPr>
          <w:p>
            <w:r>
              <w:rPr>
                <w:i/>
                <w:color w:val="5A6B7A"/>
                <w:sz w:val="18"/>
              </w:rPr>
              <w:t>Impressions</w:t>
            </w:r>
          </w:p>
        </w:tc>
      </w:tr>
      <w:tr>
        <w:tc>
          <w:tcPr>
            <w:tcW w:type="dxa" w:w="1728"/>
          </w:tcPr>
          <w:p/>
        </w:tc>
        <w:tc>
          <w:tcPr>
            <w:tcW w:type="dxa" w:w="1728"/>
          </w:tcPr>
          <w:p/>
        </w:tc>
        <w:tc>
          <w:tcPr>
            <w:tcW w:type="dxa" w:w="1728"/>
          </w:tcPr>
          <w:p/>
        </w:tc>
        <w:tc>
          <w:tcPr>
            <w:tcW w:type="dxa" w:w="1728"/>
          </w:tcPr>
          <w:p/>
        </w:tc>
        <w:tc>
          <w:tcPr>
            <w:tcW w:type="dxa" w:w="1728"/>
          </w:tcPr>
          <w:p/>
        </w:tc>
      </w:tr>
      <w:tr>
        <w:tc>
          <w:tcPr>
            <w:tcW w:type="dxa" w:w="1728"/>
          </w:tcPr>
          <w:p/>
        </w:tc>
        <w:tc>
          <w:tcPr>
            <w:tcW w:type="dxa" w:w="1728"/>
          </w:tcPr>
          <w:p/>
        </w:tc>
        <w:tc>
          <w:tcPr>
            <w:tcW w:type="dxa" w:w="1728"/>
          </w:tcPr>
          <w:p/>
        </w:tc>
        <w:tc>
          <w:tcPr>
            <w:tcW w:type="dxa" w:w="1728"/>
          </w:tcPr>
          <w:p/>
        </w:tc>
        <w:tc>
          <w:tcPr>
            <w:tcW w:type="dxa" w:w="1728"/>
          </w:tcPr>
          <w:p/>
        </w:tc>
      </w:tr>
      <w:tr>
        <w:tc>
          <w:tcPr>
            <w:tcW w:type="dxa" w:w="1728"/>
          </w:tcPr>
          <w:p/>
        </w:tc>
        <w:tc>
          <w:tcPr>
            <w:tcW w:type="dxa" w:w="1728"/>
          </w:tcPr>
          <w:p/>
        </w:tc>
        <w:tc>
          <w:tcPr>
            <w:tcW w:type="dxa" w:w="1728"/>
          </w:tcPr>
          <w:p/>
        </w:tc>
        <w:tc>
          <w:tcPr>
            <w:tcW w:type="dxa" w:w="1728"/>
          </w:tcPr>
          <w:p/>
        </w:tc>
        <w:tc>
          <w:tcPr>
            <w:tcW w:type="dxa" w:w="1728"/>
          </w:tcPr>
          <w:p/>
        </w:tc>
      </w:tr>
      <w:tr>
        <w:tc>
          <w:tcPr>
            <w:tcW w:type="dxa" w:w="1728"/>
          </w:tcPr>
          <w:p/>
        </w:tc>
        <w:tc>
          <w:tcPr>
            <w:tcW w:type="dxa" w:w="1728"/>
          </w:tcPr>
          <w:p/>
        </w:tc>
        <w:tc>
          <w:tcPr>
            <w:tcW w:type="dxa" w:w="1728"/>
          </w:tcPr>
          <w:p/>
        </w:tc>
        <w:tc>
          <w:tcPr>
            <w:tcW w:type="dxa" w:w="1728"/>
          </w:tcPr>
          <w:p/>
        </w:tc>
        <w:tc>
          <w:tcPr>
            <w:tcW w:type="dxa" w:w="1728"/>
          </w:tcPr>
          <w:p/>
        </w:tc>
      </w:tr>
      <w:tr>
        <w:tc>
          <w:tcPr>
            <w:tcW w:type="dxa" w:w="1728"/>
          </w:tcPr>
          <w:p/>
        </w:tc>
        <w:tc>
          <w:tcPr>
            <w:tcW w:type="dxa" w:w="1728"/>
          </w:tcPr>
          <w:p/>
        </w:tc>
        <w:tc>
          <w:tcPr>
            <w:tcW w:type="dxa" w:w="1728"/>
          </w:tcPr>
          <w:p/>
        </w:tc>
        <w:tc>
          <w:tcPr>
            <w:tcW w:type="dxa" w:w="1728"/>
          </w:tcPr>
          <w:p/>
        </w:tc>
        <w:tc>
          <w:tcPr>
            <w:tcW w:type="dxa" w:w="1728"/>
          </w:tcPr>
          <w:p/>
        </w:tc>
      </w:tr>
    </w:tbl>
    <w:p>
      <w:pPr>
        <w:pStyle w:val="Heading1"/>
      </w:pPr>
      <w:r>
        <w:rPr>
          <w:color w:val="14283C"/>
        </w:rPr>
        <w:t>6. Measure &amp; review</w:t>
      </w:r>
    </w:p>
    <w:p>
      <w:r>
        <w:rPr>
          <w:i/>
          <w:color w:val="5A6B7A"/>
          <w:sz w:val="20"/>
        </w:rPr>
        <w:t>Pick a few indicators per channel (quantitative + some qualitative). Decide reporting cadence and a review date.</w:t>
      </w:r>
    </w:p>
    <w:p>
      <w:r>
        <w:t>☐  Reporting: short annual summary for Node leadership</w:t>
      </w:r>
    </w:p>
    <w:p>
      <w:r>
        <w:t>☐  Reporting: informal quarterly update for the comms team</w:t>
      </w:r>
    </w:p>
    <w:p>
      <w:r>
        <w:t>☐  Review date set (revisit when funding, remit or partnerships change)</w:t>
      </w:r>
    </w:p>
    <w:p/>
    <w:p/>
    <w:p>
      <w:r>
        <w:br w:type="page"/>
      </w:r>
    </w:p>
    <w:p>
      <w:pPr>
        <w:pStyle w:val="Heading1"/>
      </w:pPr>
      <w:r>
        <w:rPr>
          <w:color w:val="14283C"/>
        </w:rPr>
        <w:t>Optional: full strategy outline</w:t>
      </w:r>
    </w:p>
    <w:p>
      <w:r>
        <w:rPr>
          <w:i/>
          <w:color w:val="5A6B7A"/>
          <w:sz w:val="20"/>
        </w:rPr>
        <w:t>If you want to expand the canvas into a full strategy document, the ELIXIR-STEERS toolkit recommends this structure:</w:t>
      </w:r>
    </w:p>
    <w:p>
      <w:pPr>
        <w:pStyle w:val="ListBullet"/>
      </w:pPr>
      <w:r>
        <w:t>1. Introduction (purpose, intended audience, scope, overview)</w:t>
      </w:r>
    </w:p>
    <w:p>
      <w:pPr>
        <w:pStyle w:val="ListBullet"/>
      </w:pPr>
      <w:r>
        <w:t>2. Objectives and target audience (objectives referencing Node objectives; audience segments; their needs and preferences)</w:t>
      </w:r>
    </w:p>
    <w:p>
      <w:pPr>
        <w:pStyle w:val="ListBullet"/>
      </w:pPr>
      <w:r>
        <w:t>3. Key messages and channels (messages per audience; channels per audience; tactics; coordination)</w:t>
      </w:r>
    </w:p>
    <w:p>
      <w:pPr>
        <w:pStyle w:val="ListBullet"/>
      </w:pPr>
      <w:r>
        <w:t>4. Crisis communications plan and responding to the press</w:t>
      </w:r>
    </w:p>
    <w:p>
      <w:pPr>
        <w:pStyle w:val="ListBullet"/>
      </w:pPr>
      <w:r>
        <w:t>5. Evaluation and metrics (KPIs; tools and methods; reporting processes)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